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E9E4" w14:textId="77777777"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3783D88A" wp14:editId="581700A5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2AEC3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5FC74DFF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C0823B3" w14:textId="77777777"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F4E71BA" w14:textId="77777777" w:rsidR="00DF162A" w:rsidRPr="0084044D" w:rsidRDefault="00453BB9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34</w:t>
      </w:r>
      <w:r w:rsidR="00DF162A"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14:paraId="5F6DD565" w14:textId="77777777"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</w:p>
    <w:p w14:paraId="13A061F4" w14:textId="77777777" w:rsidR="00DF162A" w:rsidRPr="00307130" w:rsidRDefault="00453BB9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24 серпня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0ADA9474" w14:textId="77777777"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7E7DCC33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3B0FCB38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67F40593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1786B744" w14:textId="77777777"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315D88" w14:textId="77777777" w:rsidR="0088311D" w:rsidRPr="0088311D" w:rsidRDefault="00DF162A" w:rsidP="0088311D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 xml:space="preserve">ої громади  на 2023-2025 роки» згідно додатку </w:t>
      </w:r>
      <w:r w:rsidRPr="0088311D">
        <w:rPr>
          <w:rFonts w:ascii="Century" w:eastAsia="Calibri" w:hAnsi="Century" w:cs="Times New Roman"/>
          <w:b/>
          <w:sz w:val="28"/>
          <w:szCs w:val="28"/>
        </w:rPr>
        <w:t>1</w:t>
      </w:r>
      <w:r>
        <w:rPr>
          <w:rFonts w:ascii="Century" w:eastAsia="Calibri" w:hAnsi="Century" w:cs="Times New Roman"/>
          <w:sz w:val="28"/>
          <w:szCs w:val="28"/>
        </w:rPr>
        <w:t xml:space="preserve"> «Здійснення заходів щодо розроблення землевпорядної</w:t>
      </w:r>
      <w:r w:rsidR="0088311D">
        <w:rPr>
          <w:rFonts w:ascii="Century" w:eastAsia="Calibri" w:hAnsi="Century" w:cs="Times New Roman"/>
          <w:sz w:val="28"/>
          <w:szCs w:val="28"/>
        </w:rPr>
        <w:t xml:space="preserve"> та містобудівної документації» та додатку </w:t>
      </w:r>
      <w:r w:rsidR="0088311D" w:rsidRPr="0088311D">
        <w:rPr>
          <w:rFonts w:ascii="Century" w:eastAsia="Calibri" w:hAnsi="Century" w:cs="Times New Roman"/>
          <w:b/>
          <w:sz w:val="28"/>
          <w:szCs w:val="28"/>
        </w:rPr>
        <w:t>2</w:t>
      </w:r>
      <w:r w:rsidR="0088311D" w:rsidRPr="0088311D">
        <w:rPr>
          <w:rFonts w:ascii="Century" w:eastAsia="Calibri" w:hAnsi="Century" w:cs="Times New Roman"/>
          <w:sz w:val="28"/>
          <w:szCs w:val="28"/>
        </w:rPr>
        <w:t xml:space="preserve"> «Обсяги робіт з влаштування осушувальних систем та очищення меліоративних каналів.»</w:t>
      </w:r>
    </w:p>
    <w:p w14:paraId="4EDDFC3A" w14:textId="77777777" w:rsidR="00DF162A" w:rsidRPr="0088311D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35222466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).</w:t>
      </w:r>
    </w:p>
    <w:p w14:paraId="79DB2309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66DC0322" w14:textId="77777777" w:rsidR="0088311D" w:rsidRPr="0088311D" w:rsidRDefault="00DF162A" w:rsidP="0088311D">
      <w:pPr>
        <w:jc w:val="right"/>
        <w:rPr>
          <w:rFonts w:ascii="Century" w:hAnsi="Century"/>
          <w:b/>
          <w:sz w:val="24"/>
          <w:szCs w:val="24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582E29E3" w14:textId="32FDEEA7" w:rsidR="00CE2EB2" w:rsidRPr="00323940" w:rsidRDefault="00CE2EB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7E09CE51" w14:textId="77777777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93CE5FF" w14:textId="3C8A88CF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2FB50101" w14:textId="77777777" w:rsidR="0088311D" w:rsidRPr="0088311D" w:rsidRDefault="0088311D" w:rsidP="0088311D">
      <w:pPr>
        <w:spacing w:after="160" w:line="259" w:lineRule="auto"/>
        <w:jc w:val="center"/>
        <w:rPr>
          <w:rFonts w:ascii="Century" w:hAnsi="Century"/>
          <w:b/>
          <w:sz w:val="26"/>
          <w:szCs w:val="26"/>
        </w:rPr>
      </w:pPr>
      <w:r w:rsidRPr="0088311D">
        <w:rPr>
          <w:rFonts w:ascii="Century" w:hAnsi="Century"/>
          <w:b/>
          <w:sz w:val="26"/>
          <w:szCs w:val="26"/>
        </w:rPr>
        <w:t>«Здійснення заходів щодо розроблення землевпорядної та містобудівної документації».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902"/>
        <w:gridCol w:w="1204"/>
        <w:gridCol w:w="971"/>
        <w:gridCol w:w="1847"/>
      </w:tblGrid>
      <w:tr w:rsidR="0088311D" w:rsidRPr="0088311D" w14:paraId="30C0EE5F" w14:textId="77777777" w:rsidTr="00EE3223">
        <w:trPr>
          <w:trHeight w:val="930"/>
        </w:trPr>
        <w:tc>
          <w:tcPr>
            <w:tcW w:w="704" w:type="dxa"/>
            <w:vAlign w:val="center"/>
            <w:hideMark/>
          </w:tcPr>
          <w:p w14:paraId="4DF4630C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№</w:t>
            </w:r>
          </w:p>
          <w:p w14:paraId="33889B7A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 xml:space="preserve"> з/п</w:t>
            </w:r>
          </w:p>
        </w:tc>
        <w:tc>
          <w:tcPr>
            <w:tcW w:w="4902" w:type="dxa"/>
            <w:vAlign w:val="center"/>
            <w:hideMark/>
          </w:tcPr>
          <w:p w14:paraId="1AC1622D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14:paraId="07E01D6F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14:paraId="3BD5F0EF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14:paraId="1988D0DA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sz w:val="24"/>
                <w:szCs w:val="24"/>
              </w:rPr>
              <w:t>Джерела фінансування</w:t>
            </w:r>
          </w:p>
        </w:tc>
      </w:tr>
      <w:tr w:rsidR="0088311D" w:rsidRPr="0088311D" w14:paraId="56B4BC48" w14:textId="77777777" w:rsidTr="00EE3223">
        <w:trPr>
          <w:trHeight w:val="1753"/>
        </w:trPr>
        <w:tc>
          <w:tcPr>
            <w:tcW w:w="704" w:type="dxa"/>
            <w:noWrap/>
          </w:tcPr>
          <w:p w14:paraId="74858EAC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42BF465C" w14:textId="77777777" w:rsid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Розроблення технічної документації   щодо </w:t>
            </w:r>
            <w:proofErr w:type="spellStart"/>
            <w:r w:rsidRPr="0088311D">
              <w:rPr>
                <w:rFonts w:ascii="Century" w:hAnsi="Century"/>
                <w:bCs/>
                <w:sz w:val="24"/>
                <w:szCs w:val="24"/>
              </w:rPr>
              <w:t>інветаризації</w:t>
            </w:r>
            <w:proofErr w:type="spellEnd"/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  земельної ділянки комунальної власності для будівництва та обслуговування нежитлової будівлі, адмінбудинку, на вулиці Січових Стрільців, 7 в селі </w:t>
            </w:r>
            <w:proofErr w:type="spellStart"/>
            <w:r w:rsidRPr="0088311D">
              <w:rPr>
                <w:rFonts w:ascii="Century" w:hAnsi="Century"/>
                <w:bCs/>
                <w:sz w:val="24"/>
                <w:szCs w:val="24"/>
              </w:rPr>
              <w:t>Заверешиця</w:t>
            </w:r>
            <w:proofErr w:type="spellEnd"/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  <w:p w14:paraId="3EFB0439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1204" w:type="dxa"/>
            <w:noWrap/>
          </w:tcPr>
          <w:p w14:paraId="3EDDDF8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60D49881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56EB66A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міський  бюджет</w:t>
            </w:r>
          </w:p>
          <w:p w14:paraId="1FCCF932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1580AA5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7135</w:t>
            </w:r>
          </w:p>
          <w:p w14:paraId="04128CEB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88311D" w:rsidRPr="0088311D" w14:paraId="1971AE59" w14:textId="77777777" w:rsidTr="0088311D">
        <w:trPr>
          <w:trHeight w:val="2325"/>
        </w:trPr>
        <w:tc>
          <w:tcPr>
            <w:tcW w:w="704" w:type="dxa"/>
            <w:noWrap/>
          </w:tcPr>
          <w:p w14:paraId="6EA7F6BC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3CB18FAB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 xml:space="preserve">Розроблення технічної документації з нормативної грошової оцінки земельної ділянки 03.15 для будівництва та обслуговування інших будівель громадської забудови в урочищі «Під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Цунівським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 лісом» Львівського району Львівської області</w:t>
            </w:r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14:paraId="02E17941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1EF555D5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44EA8E18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міський  </w:t>
            </w:r>
            <w:proofErr w:type="spellStart"/>
            <w:r w:rsidRPr="0088311D">
              <w:rPr>
                <w:rFonts w:ascii="Century" w:hAnsi="Century"/>
                <w:bCs/>
                <w:sz w:val="24"/>
                <w:szCs w:val="24"/>
              </w:rPr>
              <w:t>бюдже</w:t>
            </w:r>
            <w:proofErr w:type="spellEnd"/>
          </w:p>
          <w:p w14:paraId="755A04A9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7134</w:t>
            </w:r>
          </w:p>
        </w:tc>
      </w:tr>
      <w:tr w:rsidR="0088311D" w:rsidRPr="0088311D" w14:paraId="5BBBDCEF" w14:textId="77777777" w:rsidTr="00EE3223">
        <w:trPr>
          <w:trHeight w:val="1550"/>
        </w:trPr>
        <w:tc>
          <w:tcPr>
            <w:tcW w:w="704" w:type="dxa"/>
            <w:noWrap/>
          </w:tcPr>
          <w:p w14:paraId="393A55FD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0E019398" w14:textId="77777777" w:rsid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>Розроблення технічної документації із землеустрою щодо поділу земельної ділянки кадастровий номер 4620988000:19:000:0716 площею 16.6490 га на території Городоцької міської ради  Львівського району Львівської області.</w:t>
            </w:r>
          </w:p>
          <w:p w14:paraId="6D87E909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204" w:type="dxa"/>
            <w:noWrap/>
          </w:tcPr>
          <w:p w14:paraId="1203EEAA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3BE7B4EB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431467F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00E4A12F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міський бюджет</w:t>
            </w:r>
          </w:p>
          <w:p w14:paraId="5E083BA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7CE441C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7135</w:t>
            </w:r>
          </w:p>
        </w:tc>
      </w:tr>
      <w:tr w:rsidR="0088311D" w:rsidRPr="0088311D" w14:paraId="5A6CE937" w14:textId="77777777" w:rsidTr="00EE3223">
        <w:trPr>
          <w:trHeight w:val="1550"/>
        </w:trPr>
        <w:tc>
          <w:tcPr>
            <w:tcW w:w="704" w:type="dxa"/>
            <w:noWrap/>
          </w:tcPr>
          <w:p w14:paraId="5117A9D8" w14:textId="77777777" w:rsidR="0088311D" w:rsidRPr="0088311D" w:rsidRDefault="0088311D" w:rsidP="0088311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13DBA853" w14:textId="77777777" w:rsid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88311D">
              <w:rPr>
                <w:rFonts w:ascii="Century" w:hAnsi="Century"/>
                <w:sz w:val="24"/>
                <w:szCs w:val="24"/>
              </w:rPr>
              <w:t xml:space="preserve">Розроблення технічної документації із землеустрою щодо встановлення  (відновлення) меж земельної ділянки в натурі (на місцевості) площею 1766,6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кв.м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., по вулиці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Б.Хмельницького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, 2 в </w:t>
            </w:r>
            <w:proofErr w:type="spellStart"/>
            <w:r w:rsidRPr="0088311D"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 w:rsidRPr="0088311D">
              <w:rPr>
                <w:rFonts w:ascii="Century" w:hAnsi="Century"/>
                <w:sz w:val="24"/>
                <w:szCs w:val="24"/>
              </w:rPr>
              <w:t xml:space="preserve"> Львівської області</w:t>
            </w:r>
            <w:r>
              <w:rPr>
                <w:rFonts w:ascii="Century" w:hAnsi="Century"/>
                <w:sz w:val="24"/>
                <w:szCs w:val="24"/>
              </w:rPr>
              <w:t>.</w:t>
            </w:r>
          </w:p>
          <w:p w14:paraId="6CD53E5C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04" w:type="dxa"/>
            <w:noWrap/>
          </w:tcPr>
          <w:p w14:paraId="4BC630D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0D4C13F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14:paraId="3AA63070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149D0664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670AEBAA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28FFC196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міський бюджет</w:t>
            </w:r>
          </w:p>
          <w:p w14:paraId="76B24F6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</w:p>
          <w:p w14:paraId="319C7623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7135</w:t>
            </w:r>
          </w:p>
        </w:tc>
      </w:tr>
      <w:tr w:rsidR="0088311D" w:rsidRPr="0088311D" w14:paraId="48CB1566" w14:textId="77777777" w:rsidTr="00EE3223">
        <w:trPr>
          <w:trHeight w:val="1037"/>
        </w:trPr>
        <w:tc>
          <w:tcPr>
            <w:tcW w:w="704" w:type="dxa"/>
            <w:noWrap/>
          </w:tcPr>
          <w:p w14:paraId="1F3BCE48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546557D4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4902" w:type="dxa"/>
          </w:tcPr>
          <w:p w14:paraId="4EE73848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</w:p>
          <w:p w14:paraId="1766FAF3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14:paraId="64B5F91E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3422E09F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60</w:t>
            </w:r>
          </w:p>
        </w:tc>
        <w:tc>
          <w:tcPr>
            <w:tcW w:w="971" w:type="dxa"/>
            <w:noWrap/>
          </w:tcPr>
          <w:p w14:paraId="390FFCBE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</w:p>
          <w:p w14:paraId="355FDBB7" w14:textId="77777777" w:rsidR="0088311D" w:rsidRPr="0088311D" w:rsidRDefault="0088311D" w:rsidP="0088311D">
            <w:pPr>
              <w:spacing w:after="160" w:line="259" w:lineRule="auto"/>
              <w:jc w:val="center"/>
              <w:rPr>
                <w:rFonts w:ascii="Century" w:hAnsi="Century"/>
                <w:bCs/>
                <w:sz w:val="24"/>
                <w:szCs w:val="24"/>
              </w:rPr>
            </w:pPr>
            <w:r w:rsidRPr="0088311D">
              <w:rPr>
                <w:rFonts w:ascii="Century" w:hAnsi="Century"/>
                <w:bCs/>
                <w:sz w:val="24"/>
                <w:szCs w:val="24"/>
              </w:rPr>
              <w:t>60</w:t>
            </w:r>
          </w:p>
        </w:tc>
        <w:tc>
          <w:tcPr>
            <w:tcW w:w="1847" w:type="dxa"/>
          </w:tcPr>
          <w:p w14:paraId="397CDB64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  <w:p w14:paraId="05F951FD" w14:textId="77777777" w:rsidR="0088311D" w:rsidRPr="0088311D" w:rsidRDefault="0088311D" w:rsidP="0088311D">
            <w:pPr>
              <w:spacing w:after="160" w:line="259" w:lineRule="auto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3200D6A1" w14:textId="77777777" w:rsidR="0088311D" w:rsidRPr="0088311D" w:rsidRDefault="0088311D" w:rsidP="0088311D">
      <w:pPr>
        <w:spacing w:after="160" w:line="259" w:lineRule="auto"/>
        <w:rPr>
          <w:rFonts w:ascii="Century" w:hAnsi="Century"/>
          <w:b/>
          <w:sz w:val="24"/>
          <w:szCs w:val="24"/>
        </w:rPr>
      </w:pPr>
    </w:p>
    <w:p w14:paraId="65369988" w14:textId="77777777" w:rsidR="0088311D" w:rsidRPr="0088311D" w:rsidRDefault="0088311D" w:rsidP="0088311D">
      <w:pPr>
        <w:spacing w:after="160" w:line="259" w:lineRule="auto"/>
        <w:rPr>
          <w:rFonts w:ascii="Century" w:hAnsi="Century"/>
          <w:b/>
          <w:sz w:val="24"/>
          <w:szCs w:val="24"/>
        </w:rPr>
      </w:pPr>
    </w:p>
    <w:p w14:paraId="7AACD556" w14:textId="77777777" w:rsidR="0088311D" w:rsidRDefault="0088311D" w:rsidP="0088311D">
      <w:pPr>
        <w:spacing w:after="160" w:line="259" w:lineRule="auto"/>
        <w:rPr>
          <w:rFonts w:ascii="Century" w:hAnsi="Century"/>
          <w:b/>
          <w:sz w:val="24"/>
          <w:szCs w:val="24"/>
        </w:rPr>
      </w:pPr>
    </w:p>
    <w:p w14:paraId="52B93C48" w14:textId="77777777" w:rsidR="00CE2EB2" w:rsidRPr="00323940" w:rsidRDefault="00CE2EB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74A782A" w14:textId="77777777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EF0AD36" w14:textId="77777777" w:rsidR="00CE2EB2" w:rsidRPr="00CC5A51" w:rsidRDefault="00CE2EB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336647A4" w14:textId="77777777" w:rsidR="0088311D" w:rsidRPr="0088311D" w:rsidRDefault="0088311D" w:rsidP="0088311D">
      <w:pPr>
        <w:spacing w:after="160" w:line="259" w:lineRule="auto"/>
        <w:jc w:val="right"/>
        <w:rPr>
          <w:rFonts w:ascii="Century" w:hAnsi="Century"/>
          <w:bCs/>
          <w:sz w:val="24"/>
          <w:szCs w:val="24"/>
        </w:rPr>
      </w:pPr>
    </w:p>
    <w:p w14:paraId="75D72828" w14:textId="2231D52C" w:rsidR="0088311D" w:rsidRPr="00CE2EB2" w:rsidRDefault="0088311D" w:rsidP="00CE2EB2">
      <w:pPr>
        <w:spacing w:after="160" w:line="259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CE2EB2">
        <w:rPr>
          <w:rFonts w:ascii="Century" w:hAnsi="Century"/>
          <w:b/>
          <w:color w:val="000000"/>
          <w:sz w:val="28"/>
          <w:szCs w:val="28"/>
        </w:rPr>
        <w:t>«Обсяги робіт з влаштування осушувальних систем та очищення меліоративних каналів»</w:t>
      </w:r>
    </w:p>
    <w:p w14:paraId="5A2C6E9B" w14:textId="77777777" w:rsidR="0088311D" w:rsidRPr="0088311D" w:rsidRDefault="0088311D" w:rsidP="0088311D">
      <w:pPr>
        <w:spacing w:after="160" w:line="259" w:lineRule="auto"/>
        <w:jc w:val="both"/>
        <w:rPr>
          <w:b/>
          <w:i/>
          <w:color w:val="000000"/>
          <w:sz w:val="28"/>
          <w:szCs w:val="28"/>
        </w:rPr>
      </w:pPr>
    </w:p>
    <w:tbl>
      <w:tblPr>
        <w:tblStyle w:val="a3"/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2444"/>
        <w:gridCol w:w="1276"/>
        <w:gridCol w:w="1418"/>
        <w:gridCol w:w="1162"/>
        <w:gridCol w:w="1134"/>
        <w:gridCol w:w="1812"/>
      </w:tblGrid>
      <w:tr w:rsidR="0088311D" w:rsidRPr="0088311D" w14:paraId="7DED9A0C" w14:textId="77777777" w:rsidTr="00EE3223">
        <w:tc>
          <w:tcPr>
            <w:tcW w:w="534" w:type="dxa"/>
            <w:vMerge w:val="restart"/>
            <w:vAlign w:val="center"/>
          </w:tcPr>
          <w:p w14:paraId="759C15A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№</w:t>
            </w:r>
          </w:p>
          <w:p w14:paraId="7FF8D18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з/п</w:t>
            </w:r>
          </w:p>
          <w:p w14:paraId="078C45E0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2444" w:type="dxa"/>
            <w:vMerge w:val="restart"/>
            <w:vAlign w:val="center"/>
          </w:tcPr>
          <w:p w14:paraId="2B615DA5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Назва заходів</w:t>
            </w:r>
          </w:p>
        </w:tc>
        <w:tc>
          <w:tcPr>
            <w:tcW w:w="1276" w:type="dxa"/>
            <w:vMerge w:val="restart"/>
            <w:vAlign w:val="center"/>
          </w:tcPr>
          <w:p w14:paraId="5152506B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Вартість робіт, тис. грн.</w:t>
            </w:r>
          </w:p>
        </w:tc>
        <w:tc>
          <w:tcPr>
            <w:tcW w:w="3714" w:type="dxa"/>
            <w:gridSpan w:val="3"/>
          </w:tcPr>
          <w:p w14:paraId="5DE3EBAA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В т. ч. по роках</w:t>
            </w:r>
          </w:p>
        </w:tc>
        <w:tc>
          <w:tcPr>
            <w:tcW w:w="1812" w:type="dxa"/>
            <w:vMerge w:val="restart"/>
            <w:vAlign w:val="center"/>
          </w:tcPr>
          <w:p w14:paraId="0BD4CDF3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Джерела фінансування/виконавець</w:t>
            </w:r>
          </w:p>
        </w:tc>
      </w:tr>
      <w:tr w:rsidR="0088311D" w:rsidRPr="0088311D" w14:paraId="70546ADC" w14:textId="77777777" w:rsidTr="00EE3223">
        <w:tc>
          <w:tcPr>
            <w:tcW w:w="534" w:type="dxa"/>
            <w:vMerge/>
          </w:tcPr>
          <w:p w14:paraId="1F3BB619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2444" w:type="dxa"/>
            <w:vMerge/>
          </w:tcPr>
          <w:p w14:paraId="50C59AB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1276" w:type="dxa"/>
            <w:vMerge/>
          </w:tcPr>
          <w:p w14:paraId="47CE7E08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57C5E148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2023</w:t>
            </w:r>
          </w:p>
        </w:tc>
        <w:tc>
          <w:tcPr>
            <w:tcW w:w="1162" w:type="dxa"/>
            <w:vAlign w:val="center"/>
          </w:tcPr>
          <w:p w14:paraId="5D6061F8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2024</w:t>
            </w:r>
          </w:p>
        </w:tc>
        <w:tc>
          <w:tcPr>
            <w:tcW w:w="1134" w:type="dxa"/>
            <w:vAlign w:val="center"/>
          </w:tcPr>
          <w:p w14:paraId="559B46A0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40F158AB" w14:textId="77777777" w:rsidR="0088311D" w:rsidRPr="0088311D" w:rsidRDefault="0088311D" w:rsidP="004E1C41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2025</w:t>
            </w:r>
          </w:p>
          <w:p w14:paraId="05E36B38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1812" w:type="dxa"/>
            <w:vMerge/>
          </w:tcPr>
          <w:p w14:paraId="009507A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</w:tr>
      <w:tr w:rsidR="0088311D" w:rsidRPr="0088311D" w14:paraId="731BCB62" w14:textId="77777777" w:rsidTr="00EE3223">
        <w:tc>
          <w:tcPr>
            <w:tcW w:w="534" w:type="dxa"/>
          </w:tcPr>
          <w:p w14:paraId="71947328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1.</w:t>
            </w:r>
          </w:p>
        </w:tc>
        <w:tc>
          <w:tcPr>
            <w:tcW w:w="2444" w:type="dxa"/>
          </w:tcPr>
          <w:p w14:paraId="6712A6DC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Очищення меліоративних каналів</w:t>
            </w:r>
            <w:r>
              <w:rPr>
                <w:rFonts w:ascii="Century" w:hAnsi="Century"/>
                <w:color w:val="000000"/>
              </w:rPr>
              <w:t xml:space="preserve"> на території Городоцької територіальної громади </w:t>
            </w:r>
            <w:r w:rsidRPr="0088311D">
              <w:rPr>
                <w:rFonts w:ascii="Century" w:hAnsi="Century"/>
                <w:color w:val="000000"/>
              </w:rPr>
              <w:t xml:space="preserve"> Львівської області </w:t>
            </w:r>
          </w:p>
        </w:tc>
        <w:tc>
          <w:tcPr>
            <w:tcW w:w="1276" w:type="dxa"/>
          </w:tcPr>
          <w:p w14:paraId="51984453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59820E66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6D6F4E9F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 xml:space="preserve">   </w:t>
            </w:r>
            <w:r w:rsidRPr="0088311D">
              <w:rPr>
                <w:rFonts w:ascii="Century" w:hAnsi="Century"/>
                <w:color w:val="000000"/>
              </w:rPr>
              <w:t>400</w:t>
            </w:r>
          </w:p>
        </w:tc>
        <w:tc>
          <w:tcPr>
            <w:tcW w:w="1418" w:type="dxa"/>
          </w:tcPr>
          <w:p w14:paraId="6228155B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</w:p>
          <w:p w14:paraId="36C83DF8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</w:p>
          <w:p w14:paraId="3AFE1AE0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 xml:space="preserve">     </w:t>
            </w:r>
            <w:r w:rsidRPr="0088311D">
              <w:rPr>
                <w:rFonts w:ascii="Century" w:hAnsi="Century"/>
                <w:color w:val="000000"/>
              </w:rPr>
              <w:t>400</w:t>
            </w:r>
          </w:p>
          <w:p w14:paraId="4159DDAA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</w:p>
        </w:tc>
        <w:tc>
          <w:tcPr>
            <w:tcW w:w="1162" w:type="dxa"/>
          </w:tcPr>
          <w:p w14:paraId="2F9997E1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32645367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4DE066E4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134" w:type="dxa"/>
          </w:tcPr>
          <w:p w14:paraId="34D815D1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60C9B65C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3565D38B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812" w:type="dxa"/>
          </w:tcPr>
          <w:p w14:paraId="1E715975" w14:textId="77777777" w:rsidR="004E1C41" w:rsidRDefault="004E1C41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  <w:p w14:paraId="7D81AECC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Міський бюджет/ КП «Міське комунальне господарство»</w:t>
            </w:r>
          </w:p>
        </w:tc>
      </w:tr>
      <w:tr w:rsidR="0088311D" w:rsidRPr="0088311D" w14:paraId="5E6E15E9" w14:textId="77777777" w:rsidTr="00EE3223">
        <w:tc>
          <w:tcPr>
            <w:tcW w:w="534" w:type="dxa"/>
          </w:tcPr>
          <w:p w14:paraId="0C56516F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  <w:tc>
          <w:tcPr>
            <w:tcW w:w="2444" w:type="dxa"/>
          </w:tcPr>
          <w:p w14:paraId="667ED947" w14:textId="77777777" w:rsid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/>
                <w:color w:val="000000"/>
              </w:rPr>
            </w:pPr>
          </w:p>
          <w:p w14:paraId="2B625D59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b/>
                <w:color w:val="000000"/>
              </w:rPr>
            </w:pPr>
            <w:r w:rsidRPr="0088311D">
              <w:rPr>
                <w:rFonts w:ascii="Century" w:hAnsi="Century"/>
                <w:b/>
                <w:color w:val="000000"/>
              </w:rPr>
              <w:t>Разом</w:t>
            </w:r>
          </w:p>
        </w:tc>
        <w:tc>
          <w:tcPr>
            <w:tcW w:w="1276" w:type="dxa"/>
          </w:tcPr>
          <w:p w14:paraId="77A3F007" w14:textId="77777777" w:rsid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</w:p>
          <w:p w14:paraId="673C2E6F" w14:textId="77777777" w:rsid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400</w:t>
            </w:r>
          </w:p>
          <w:p w14:paraId="0ACE35C3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1418" w:type="dxa"/>
          </w:tcPr>
          <w:p w14:paraId="23F140B9" w14:textId="77777777" w:rsid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</w:p>
          <w:p w14:paraId="794CCC99" w14:textId="77777777" w:rsidR="0088311D" w:rsidRPr="0088311D" w:rsidRDefault="0088311D" w:rsidP="0088311D">
            <w:pPr>
              <w:spacing w:after="0" w:line="240" w:lineRule="auto"/>
              <w:jc w:val="center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400</w:t>
            </w:r>
          </w:p>
        </w:tc>
        <w:tc>
          <w:tcPr>
            <w:tcW w:w="1162" w:type="dxa"/>
          </w:tcPr>
          <w:p w14:paraId="12521028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134" w:type="dxa"/>
          </w:tcPr>
          <w:p w14:paraId="71428AB2" w14:textId="77777777" w:rsidR="0088311D" w:rsidRPr="0088311D" w:rsidRDefault="0088311D" w:rsidP="0088311D">
            <w:pPr>
              <w:spacing w:after="0" w:line="240" w:lineRule="auto"/>
              <w:rPr>
                <w:rFonts w:ascii="Century" w:hAnsi="Century"/>
                <w:color w:val="000000"/>
              </w:rPr>
            </w:pPr>
            <w:r w:rsidRPr="0088311D">
              <w:rPr>
                <w:rFonts w:ascii="Century" w:hAnsi="Century"/>
                <w:color w:val="000000"/>
              </w:rPr>
              <w:t>-</w:t>
            </w:r>
          </w:p>
        </w:tc>
        <w:tc>
          <w:tcPr>
            <w:tcW w:w="1812" w:type="dxa"/>
          </w:tcPr>
          <w:p w14:paraId="20CFC966" w14:textId="77777777" w:rsidR="0088311D" w:rsidRPr="0088311D" w:rsidRDefault="0088311D" w:rsidP="0088311D">
            <w:pPr>
              <w:spacing w:after="0" w:line="240" w:lineRule="auto"/>
              <w:jc w:val="both"/>
              <w:rPr>
                <w:rFonts w:ascii="Century" w:hAnsi="Century"/>
                <w:color w:val="000000"/>
              </w:rPr>
            </w:pPr>
          </w:p>
        </w:tc>
      </w:tr>
    </w:tbl>
    <w:p w14:paraId="404B6CE7" w14:textId="77777777" w:rsidR="0088311D" w:rsidRPr="0088311D" w:rsidRDefault="0088311D" w:rsidP="0088311D">
      <w:pPr>
        <w:spacing w:after="160" w:line="259" w:lineRule="auto"/>
        <w:jc w:val="both"/>
        <w:rPr>
          <w:sz w:val="28"/>
          <w:szCs w:val="28"/>
        </w:rPr>
      </w:pPr>
    </w:p>
    <w:p w14:paraId="289DAAEB" w14:textId="77777777" w:rsidR="0088311D" w:rsidRPr="0088311D" w:rsidRDefault="0088311D" w:rsidP="0088311D">
      <w:pPr>
        <w:spacing w:after="160" w:line="259" w:lineRule="auto"/>
        <w:jc w:val="both"/>
        <w:rPr>
          <w:sz w:val="28"/>
          <w:szCs w:val="28"/>
        </w:rPr>
      </w:pPr>
    </w:p>
    <w:p w14:paraId="43B2BA69" w14:textId="77777777" w:rsidR="0088311D" w:rsidRPr="0088311D" w:rsidRDefault="0088311D" w:rsidP="0088311D">
      <w:pPr>
        <w:spacing w:after="160" w:line="259" w:lineRule="auto"/>
        <w:jc w:val="both"/>
        <w:rPr>
          <w:sz w:val="28"/>
          <w:szCs w:val="28"/>
        </w:rPr>
      </w:pPr>
    </w:p>
    <w:p w14:paraId="3AA61B19" w14:textId="77777777" w:rsidR="0088311D" w:rsidRPr="0088311D" w:rsidRDefault="0088311D" w:rsidP="0088311D">
      <w:pPr>
        <w:spacing w:after="160" w:line="259" w:lineRule="auto"/>
        <w:rPr>
          <w:rFonts w:ascii="Century" w:hAnsi="Century"/>
          <w:b/>
          <w:sz w:val="24"/>
          <w:szCs w:val="24"/>
        </w:rPr>
      </w:pPr>
    </w:p>
    <w:p w14:paraId="116A5677" w14:textId="77777777" w:rsidR="0072312A" w:rsidRPr="0072312A" w:rsidRDefault="0072312A" w:rsidP="0072312A">
      <w:pPr>
        <w:rPr>
          <w:b/>
        </w:rPr>
      </w:pPr>
    </w:p>
    <w:sectPr w:rsidR="0072312A" w:rsidRPr="0072312A" w:rsidSect="00CE2EB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55C77" w14:textId="77777777" w:rsidR="00B84943" w:rsidRDefault="00B84943" w:rsidP="0088311D">
      <w:pPr>
        <w:spacing w:after="0" w:line="240" w:lineRule="auto"/>
      </w:pPr>
      <w:r>
        <w:separator/>
      </w:r>
    </w:p>
  </w:endnote>
  <w:endnote w:type="continuationSeparator" w:id="0">
    <w:p w14:paraId="1B2DDF2B" w14:textId="77777777" w:rsidR="00B84943" w:rsidRDefault="00B84943" w:rsidP="0088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DA6E" w14:textId="77777777" w:rsidR="00B84943" w:rsidRDefault="00B84943" w:rsidP="0088311D">
      <w:pPr>
        <w:spacing w:after="0" w:line="240" w:lineRule="auto"/>
      </w:pPr>
      <w:r>
        <w:separator/>
      </w:r>
    </w:p>
  </w:footnote>
  <w:footnote w:type="continuationSeparator" w:id="0">
    <w:p w14:paraId="3E749F8C" w14:textId="77777777" w:rsidR="00B84943" w:rsidRDefault="00B84943" w:rsidP="00883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89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2A"/>
    <w:rsid w:val="000B1BFA"/>
    <w:rsid w:val="00453BB9"/>
    <w:rsid w:val="004E1C41"/>
    <w:rsid w:val="0072312A"/>
    <w:rsid w:val="007313DC"/>
    <w:rsid w:val="0088311D"/>
    <w:rsid w:val="00B84943"/>
    <w:rsid w:val="00CE2EB2"/>
    <w:rsid w:val="00D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23CA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723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8311D"/>
  </w:style>
  <w:style w:type="paragraph" w:styleId="a6">
    <w:name w:val="footer"/>
    <w:basedOn w:val="a"/>
    <w:link w:val="a7"/>
    <w:uiPriority w:val="99"/>
    <w:unhideWhenUsed/>
    <w:rsid w:val="0088311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883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99251-E110-421A-8609-12659747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2215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6</cp:revision>
  <dcterms:created xsi:type="dcterms:W3CDTF">2023-08-09T05:25:00Z</dcterms:created>
  <dcterms:modified xsi:type="dcterms:W3CDTF">2023-08-21T10:05:00Z</dcterms:modified>
</cp:coreProperties>
</file>